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69" w:rsidRPr="00AD3E06" w:rsidRDefault="006C6569" w:rsidP="006C6569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tr-TR"/>
        </w:rPr>
      </w:pPr>
      <w:bookmarkStart w:id="0" w:name="_Hlk536445882"/>
      <w:bookmarkStart w:id="1" w:name="_Hlk517348489"/>
      <w:bookmarkStart w:id="2" w:name="_Hlk512596249"/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DAVA </w:t>
      </w:r>
      <w:proofErr w:type="gramStart"/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ŞARTI  ARABULUCULUK</w:t>
      </w:r>
      <w:proofErr w:type="gramEnd"/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ANLAŞMA </w:t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TUTANAĞI</w:t>
      </w:r>
    </w:p>
    <w:p w:rsidR="006C6569" w:rsidRPr="00AD3E06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</w:p>
    <w:p w:rsidR="006C6569" w:rsidRPr="00AD3E06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TARAFLAR </w:t>
      </w:r>
    </w:p>
    <w:p w:rsidR="006C6569" w:rsidRPr="00AD3E06" w:rsidRDefault="006C6569" w:rsidP="006C6569">
      <w:pPr>
        <w:spacing w:after="0" w:line="240" w:lineRule="auto"/>
        <w:ind w:left="720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İŞÇİ</w:t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>: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>İŞVEREN</w:t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ab/>
        <w:t>: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</w:p>
    <w:p w:rsidR="006C6569" w:rsidRPr="00AD3E06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u w:val="single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Görüşme Başlangıç </w:t>
      </w:r>
    </w:p>
    <w:p w:rsidR="006C6569" w:rsidRPr="00AD3E06" w:rsidRDefault="006C6569" w:rsidP="006C6569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Tarih ve Saati         </w:t>
      </w:r>
      <w:r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</w:t>
      </w:r>
      <w:proofErr w:type="gramStart"/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 :</w:t>
      </w:r>
      <w:proofErr w:type="gramEnd"/>
      <w:r w:rsidRPr="00AD3E06">
        <w:rPr>
          <w:rFonts w:ascii="Cambria" w:eastAsia="Times New Roman" w:hAnsi="Cambria"/>
          <w:b/>
          <w:sz w:val="24"/>
          <w:szCs w:val="24"/>
          <w:u w:val="single"/>
          <w:lang w:eastAsia="tr-TR"/>
        </w:rPr>
        <w:t xml:space="preserve">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</w:p>
    <w:p w:rsidR="006C6569" w:rsidRPr="00AD3E06" w:rsidRDefault="006C6569" w:rsidP="006C6569">
      <w:pPr>
        <w:spacing w:after="0" w:line="240" w:lineRule="auto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>ANLAŞMAZLIK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 xml:space="preserve"> </w:t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>KONUSU</w:t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/>
          <w:b/>
          <w:sz w:val="24"/>
          <w:szCs w:val="24"/>
          <w:lang w:eastAsia="tr-TR"/>
        </w:rPr>
        <w:t xml:space="preserve">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Bursa  Arabuluculuk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Bürosunun 2020/……büro numaralı ,2020/…..   A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rabuluculuk numaralı dava şartı Zorunlu arabuluculuk kapsamındaki dosyasına ilişkin taraflar arasındaki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“ İşe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iade , işe başlatmama tazminatı , işe iade sonrası boşta geçen süre ücreti “  ile ilgili uyuşmazlık.  </w:t>
      </w:r>
    </w:p>
    <w:p w:rsidR="006C6569" w:rsidRPr="00AD3E06" w:rsidRDefault="006C6569" w:rsidP="006C6569">
      <w:pPr>
        <w:spacing w:after="0" w:line="240" w:lineRule="auto"/>
        <w:ind w:left="360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>ARABULUCU</w:t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</w:r>
      <w:proofErr w:type="gramStart"/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  <w:t>: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>Bursa</w:t>
      </w:r>
      <w:proofErr w:type="gramEnd"/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Arabuluculuk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Bürosunun 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yukarıda dosya numarası belirtilen dosyasında anılan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büro 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tarafından dava şartı zorunlu arabuluculuk sistemi kapsamında Adalet Bakanlığı 253 sicil no da kayıtlı  Arabulucu Hakkı Savunur SOĞANCI görevlendirilmiştir.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>GÖRÜŞME İÇERİĞİ</w:t>
      </w:r>
      <w:proofErr w:type="gramStart"/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  <w:t xml:space="preserve">:  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>Taraflara</w:t>
      </w:r>
      <w:proofErr w:type="gramEnd"/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yapılan ilk oturum bildirimi üzerine  taraflar ilk oturum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tarihi olan …../…../2020 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tarihinde </w:t>
      </w:r>
      <w:r>
        <w:rPr>
          <w:rFonts w:ascii="Cambria" w:eastAsia="Times New Roman" w:hAnsi="Cambria"/>
          <w:sz w:val="24"/>
          <w:szCs w:val="24"/>
          <w:lang w:eastAsia="tr-TR"/>
        </w:rPr>
        <w:t>saat ….:…….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da Arabulucu Hakkı Savunur SOĞANCI ‘ya ait Gazcılar ad. Petekbozkaya işh. B Blok N:304-305 Osmangazi /Bursa   adresinde bir araya gelerek görüşmelere başlamışlardır.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       Taraflara görüşme içeriğinin gizli olduğu verilen tüm bilgilerin doğruluğunun taraflarca kabul edildiği, bu görüşmede yapılacak tüm görüşmenin içeriğinin gizli kalacağı ve üçüncü kişilerle paylaşılmayacağı hususunda bilgi verilmiştir.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eastAsia="tr-TR"/>
        </w:rPr>
      </w:pPr>
      <w:r w:rsidRPr="00AD3E06">
        <w:rPr>
          <w:rFonts w:asciiTheme="minorHAnsi" w:eastAsiaTheme="minorHAnsi" w:hAnsiTheme="minorHAnsi" w:cstheme="minorBidi"/>
          <w:lang w:eastAsia="tr-TR"/>
        </w:rPr>
        <w:t xml:space="preserve">        </w:t>
      </w:r>
      <w:proofErr w:type="gramStart"/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>Taraflar,iş</w:t>
      </w:r>
      <w:proofErr w:type="gramEnd"/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 bu görüşme içeriğinin gizliliği, arabulucunun bağımsızlığı ve tarafsızlığı konusunda bilgilendirilmiş olup , Arabulucu Hakkı Savunur SOĞANCI ‘nın  arabulucu olarak kabul edildiğini taraflar kabul etmiştir.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eastAsia="tr-TR"/>
        </w:rPr>
      </w:pP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Taraflara arabuluculuğun temel ilkeleri, arabuluculuk süreci ve arabuluculuk süreci sonunda hazırlanan arabuluculuk son tutanağının hukuki ve mali yönlerden bütün sonuçları hakkında bilgi verilmiştir.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Theme="minorHAnsi" w:hAnsi="Cambria" w:cstheme="minorBidi"/>
          <w:sz w:val="24"/>
          <w:szCs w:val="24"/>
          <w:lang w:val="en-US" w:bidi="en-US"/>
        </w:rPr>
      </w:pPr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Taraflar söz alarak arabuluculuğun temel ilkelerini, arabuluculuk sürecini ve arabuluculuk süreci sonunda hazırlanan arabuluculuk son tutanağının hukuki ve mali yönlerden bütün sonuçlarını anladıklarını ayrı ayrı beyan etmişlerdir.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Taraflar arasında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müzakerelere geçilmiştir.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 xml:space="preserve">SONUÇ </w:t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  <w:t>:</w:t>
      </w: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</w:t>
      </w:r>
    </w:p>
    <w:p w:rsidR="006C6569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           Taraflar arasında yapılan müzakereler sonucunda taraflar arasında aşağıda belirlenen şekilde anlaşmaya varılmıştır.  </w:t>
      </w:r>
    </w:p>
    <w:p w:rsidR="006C6569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Default="006C6569" w:rsidP="006C656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 w:rsidRPr="006302A2">
        <w:rPr>
          <w:rFonts w:ascii="Cambria" w:eastAsia="Times New Roman" w:hAnsi="Cambria"/>
          <w:sz w:val="24"/>
          <w:szCs w:val="24"/>
          <w:lang w:eastAsia="tr-TR"/>
        </w:rPr>
        <w:lastRenderedPageBreak/>
        <w:t xml:space="preserve">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Taraflar işçi ….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nin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…… /……/2020 tarihinde işe iade olarak işe başlaması – başlatılması  konusunda anlaşmaya varmışlardır. </w:t>
      </w:r>
    </w:p>
    <w:p w:rsidR="006C6569" w:rsidRDefault="006C6569" w:rsidP="006C656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Taraflar işveren tarafından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işçiye ;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 işçinin boşta geçen süredeki ücret ve sosyal haklarına ilişkin kayıpları için işe iade olup işe başlayacağı ……/…../2020 tarihinde Net ………….TL boşta geçen süre ücreti ödenmesi konusunda anlaşmaya varmışlardır, işbu ödeme anılan tarihte işçiye …….. 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bankası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 hesabına nakden ödenecektir. </w:t>
      </w:r>
    </w:p>
    <w:p w:rsidR="006C6569" w:rsidRDefault="006C6569" w:rsidP="006C656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>Taraflar işçi …… nin ……</w:t>
      </w:r>
      <w:proofErr w:type="gramStart"/>
      <w:r>
        <w:rPr>
          <w:rFonts w:ascii="Cambria" w:eastAsia="Times New Roman" w:hAnsi="Cambria"/>
          <w:sz w:val="24"/>
          <w:szCs w:val="24"/>
          <w:lang w:eastAsia="tr-TR"/>
        </w:rPr>
        <w:t>/….</w:t>
      </w:r>
      <w:proofErr w:type="gramEnd"/>
      <w:r>
        <w:rPr>
          <w:rFonts w:ascii="Cambria" w:eastAsia="Times New Roman" w:hAnsi="Cambria"/>
          <w:sz w:val="24"/>
          <w:szCs w:val="24"/>
          <w:lang w:eastAsia="tr-TR"/>
        </w:rPr>
        <w:t xml:space="preserve">./2020 tarihinde işe başlatılmaması halinde ; işveren tarafından işçiye Net ………TL boşta geçen süre ücreti , Net ………TL işe başlatmama tazminatı ödemesi hususunda anlaşmışlardır. </w:t>
      </w:r>
    </w:p>
    <w:p w:rsidR="006C6569" w:rsidRPr="006302A2" w:rsidRDefault="006C6569" w:rsidP="006C656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Taraflar arasında varılan anlaşma konusu üzerinden belirlenen ……TL arabuluculuk ücretinin tamamının işveren yanca ödenmesi hususunda da taraflarca anlaşmaya varılmıştır.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Default="006C6569" w:rsidP="006C6569">
      <w:pPr>
        <w:spacing w:after="0" w:line="240" w:lineRule="auto"/>
        <w:jc w:val="both"/>
        <w:rPr>
          <w:rFonts w:ascii="Cambria" w:eastAsiaTheme="minorHAnsi" w:hAnsi="Cambria" w:cstheme="minorBidi"/>
          <w:b/>
          <w:sz w:val="24"/>
          <w:szCs w:val="24"/>
          <w:lang w:eastAsia="tr-TR"/>
        </w:rPr>
      </w:pPr>
      <w:r>
        <w:rPr>
          <w:rFonts w:ascii="Cambria" w:eastAsiaTheme="minorHAnsi" w:hAnsi="Cambria" w:cstheme="minorBidi"/>
          <w:sz w:val="24"/>
          <w:szCs w:val="24"/>
          <w:lang w:eastAsia="tr-TR"/>
        </w:rPr>
        <w:t xml:space="preserve">         </w:t>
      </w: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 </w:t>
      </w:r>
      <w:r>
        <w:rPr>
          <w:rFonts w:ascii="Cambria" w:eastAsiaTheme="minorHAnsi" w:hAnsi="Cambria" w:cstheme="minorBidi"/>
          <w:sz w:val="24"/>
          <w:szCs w:val="24"/>
          <w:lang w:eastAsia="tr-TR"/>
        </w:rPr>
        <w:t xml:space="preserve">Taraflar arasında anlaşma olduğuna dair </w:t>
      </w: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İş bu </w:t>
      </w:r>
      <w:r>
        <w:rPr>
          <w:rFonts w:ascii="Cambria" w:eastAsiaTheme="minorHAnsi" w:hAnsi="Cambria" w:cstheme="minorBidi"/>
          <w:sz w:val="24"/>
          <w:szCs w:val="24"/>
          <w:lang w:eastAsia="tr-TR"/>
        </w:rPr>
        <w:t xml:space="preserve">dava şartı arabuluculuk </w:t>
      </w: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>tutanağı,4(Dört) nüsha olarak düzenlenmiş olup, birer sureti taraflara verilmiş ,bir sureti tarafımda saklanmak üzere uhdeme alınmış ,bir sureti Arabuluculuk Daire Başkanlığı'na gönderilmek üzere tarafımd</w:t>
      </w:r>
      <w:r>
        <w:rPr>
          <w:rFonts w:ascii="Cambria" w:eastAsiaTheme="minorHAnsi" w:hAnsi="Cambria" w:cstheme="minorBidi"/>
          <w:sz w:val="24"/>
          <w:szCs w:val="24"/>
          <w:lang w:eastAsia="tr-TR"/>
        </w:rPr>
        <w:t>an alınmış olup, taraflar</w:t>
      </w: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,hür iradeleri ve hiç bir baskı altında kalmadan </w:t>
      </w:r>
      <w:r w:rsidRPr="00AD3E06">
        <w:rPr>
          <w:rFonts w:ascii="Cambria" w:eastAsiaTheme="minorHAnsi" w:hAnsi="Cambria" w:cstheme="minorBidi"/>
          <w:sz w:val="24"/>
          <w:szCs w:val="24"/>
          <w:lang w:val="en-US" w:bidi="en-US"/>
        </w:rPr>
        <w:t xml:space="preserve">6325 sayılı Hukuk Uyuşmazlıklarında Arabuluculuk Kanunu m. 17 ve 7036 sayılı İş Mahkemeleri Kanunu m. 3 uyarınca </w:t>
      </w:r>
      <w:r w:rsidRPr="00AD3E06">
        <w:rPr>
          <w:rFonts w:ascii="Cambria" w:eastAsiaTheme="minorHAnsi" w:hAnsi="Cambria" w:cstheme="minorBidi"/>
          <w:sz w:val="24"/>
          <w:szCs w:val="24"/>
          <w:lang w:eastAsia="tr-TR"/>
        </w:rPr>
        <w:t xml:space="preserve"> işbu tutanağı imzalamışlar ve  arabulucu Av. Hakkı Savunur SOĞANCI ‘yı  gayri kabili rücu şartı ile ibra etmişlerdir.  </w:t>
      </w:r>
      <w:proofErr w:type="gramStart"/>
      <w:r>
        <w:rPr>
          <w:rFonts w:ascii="Cambria" w:eastAsiaTheme="minorHAnsi" w:hAnsi="Cambria" w:cstheme="minorBidi"/>
          <w:b/>
          <w:sz w:val="24"/>
          <w:szCs w:val="24"/>
          <w:lang w:eastAsia="tr-TR"/>
        </w:rPr>
        <w:t>…..</w:t>
      </w:r>
      <w:proofErr w:type="gramEnd"/>
      <w:r>
        <w:rPr>
          <w:rFonts w:ascii="Cambria" w:eastAsiaTheme="minorHAnsi" w:hAnsi="Cambria" w:cstheme="minorBidi"/>
          <w:b/>
          <w:sz w:val="24"/>
          <w:szCs w:val="24"/>
          <w:lang w:eastAsia="tr-TR"/>
        </w:rPr>
        <w:t xml:space="preserve">/…./2020 </w:t>
      </w:r>
    </w:p>
    <w:p w:rsidR="006C6569" w:rsidRPr="00AD3E06" w:rsidRDefault="006C6569" w:rsidP="006C6569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</w:p>
    <w:p w:rsidR="006C6569" w:rsidRPr="00AD3E06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                        </w:t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>İŞVEREN</w:t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ab/>
      </w:r>
      <w:r>
        <w:rPr>
          <w:rFonts w:ascii="Cambria" w:eastAsia="Times New Roman" w:hAnsi="Cambria"/>
          <w:b/>
          <w:sz w:val="24"/>
          <w:szCs w:val="24"/>
          <w:lang w:eastAsia="tr-TR"/>
        </w:rPr>
        <w:t xml:space="preserve">     </w:t>
      </w: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 xml:space="preserve"> İŞÇİ</w:t>
      </w:r>
    </w:p>
    <w:p w:rsidR="006C6569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6C6569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6C6569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6C6569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6C6569" w:rsidRPr="00AD3E06" w:rsidRDefault="006C6569" w:rsidP="006C6569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tr-TR"/>
        </w:rPr>
      </w:pPr>
    </w:p>
    <w:p w:rsidR="006C6569" w:rsidRPr="00AD3E06" w:rsidRDefault="006C6569" w:rsidP="006C6569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b/>
          <w:sz w:val="24"/>
          <w:szCs w:val="24"/>
          <w:lang w:eastAsia="tr-TR"/>
        </w:rPr>
        <w:t>Arabulucu</w:t>
      </w:r>
    </w:p>
    <w:p w:rsidR="006C6569" w:rsidRPr="00AD3E06" w:rsidRDefault="006C6569" w:rsidP="006C6569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sz w:val="24"/>
          <w:szCs w:val="24"/>
          <w:lang w:eastAsia="tr-TR"/>
        </w:rPr>
        <w:t>Hakkı Savunur SOĞANCI</w:t>
      </w:r>
    </w:p>
    <w:p w:rsidR="006C6569" w:rsidRPr="00AD3E06" w:rsidRDefault="006C6569" w:rsidP="006C6569">
      <w:pPr>
        <w:spacing w:after="0" w:line="240" w:lineRule="auto"/>
        <w:jc w:val="center"/>
        <w:rPr>
          <w:rFonts w:ascii="Cambria" w:eastAsia="Times New Roman" w:hAnsi="Cambria"/>
          <w:sz w:val="24"/>
          <w:szCs w:val="24"/>
          <w:lang w:eastAsia="tr-TR"/>
        </w:rPr>
      </w:pPr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Sicil </w:t>
      </w:r>
      <w:proofErr w:type="gramStart"/>
      <w:r w:rsidRPr="00AD3E06">
        <w:rPr>
          <w:rFonts w:ascii="Cambria" w:eastAsia="Times New Roman" w:hAnsi="Cambria"/>
          <w:sz w:val="24"/>
          <w:szCs w:val="24"/>
          <w:lang w:eastAsia="tr-TR"/>
        </w:rPr>
        <w:t>No :</w:t>
      </w:r>
      <w:proofErr w:type="gramEnd"/>
      <w:r w:rsidRPr="00AD3E06">
        <w:rPr>
          <w:rFonts w:ascii="Cambria" w:eastAsia="Times New Roman" w:hAnsi="Cambria"/>
          <w:sz w:val="24"/>
          <w:szCs w:val="24"/>
          <w:lang w:eastAsia="tr-TR"/>
        </w:rPr>
        <w:t xml:space="preserve"> 253</w:t>
      </w:r>
    </w:p>
    <w:p w:rsidR="00641E49" w:rsidRDefault="00641E49">
      <w:bookmarkStart w:id="3" w:name="_GoBack"/>
      <w:bookmarkEnd w:id="0"/>
      <w:bookmarkEnd w:id="1"/>
      <w:bookmarkEnd w:id="2"/>
      <w:bookmarkEnd w:id="3"/>
    </w:p>
    <w:sectPr w:rsidR="00641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4C23"/>
    <w:multiLevelType w:val="hybridMultilevel"/>
    <w:tmpl w:val="C28641A4"/>
    <w:lvl w:ilvl="0" w:tplc="63F2CF0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69"/>
    <w:rsid w:val="00641E49"/>
    <w:rsid w:val="006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FB70-DBE6-4416-BB6F-59C8C88C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69"/>
    <w:pPr>
      <w:spacing w:line="25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1</cp:revision>
  <dcterms:created xsi:type="dcterms:W3CDTF">2020-03-13T18:23:00Z</dcterms:created>
  <dcterms:modified xsi:type="dcterms:W3CDTF">2020-03-13T18:23:00Z</dcterms:modified>
</cp:coreProperties>
</file>