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                                             </w:t>
      </w:r>
    </w:p>
    <w:p w:rsidR="00901D5D" w:rsidRPr="00742F26" w:rsidRDefault="00901D5D" w:rsidP="00901D5D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</w:pPr>
      <w:r w:rsidRPr="00742F26"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  <w:t xml:space="preserve">ARABULUCULUK </w:t>
      </w:r>
      <w:r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  <w:t xml:space="preserve">SÜRECİNE </w:t>
      </w:r>
      <w:r w:rsidRPr="00742F26"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  <w:t>DAVET</w:t>
      </w:r>
      <w:r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  <w:t xml:space="preserve"> MEKTUBUDUR </w:t>
      </w:r>
      <w:bookmarkStart w:id="0" w:name="_GoBack"/>
      <w:bookmarkEnd w:id="0"/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                              </w:t>
      </w:r>
    </w:p>
    <w:p w:rsidR="00901D5D" w:rsidRDefault="00901D5D" w:rsidP="00901D5D">
      <w:pPr>
        <w:pStyle w:val="AralkYok"/>
        <w:jc w:val="both"/>
        <w:rPr>
          <w:rFonts w:ascii="Cambria" w:hAnsi="Cambria"/>
          <w:sz w:val="24"/>
          <w:szCs w:val="24"/>
        </w:rPr>
      </w:pPr>
      <w:r w:rsidRPr="00F67ACE">
        <w:rPr>
          <w:rFonts w:ascii="Cambria" w:hAnsi="Cambria"/>
          <w:b/>
          <w:sz w:val="24"/>
          <w:szCs w:val="24"/>
          <w:lang w:val="en-US"/>
        </w:rPr>
        <w:t xml:space="preserve">TALEPTE BULUNAN              : </w:t>
      </w:r>
    </w:p>
    <w:p w:rsidR="00901D5D" w:rsidRPr="00F67ACE" w:rsidRDefault="00901D5D" w:rsidP="00901D5D">
      <w:pPr>
        <w:pStyle w:val="AralkYok"/>
        <w:jc w:val="both"/>
        <w:rPr>
          <w:rFonts w:ascii="Cambria" w:hAnsi="Cambria" w:cs="Tahoma"/>
          <w:color w:val="000000"/>
          <w:sz w:val="24"/>
          <w:szCs w:val="24"/>
          <w:shd w:val="clear" w:color="auto" w:fill="FFFFFF"/>
        </w:rPr>
      </w:pPr>
      <w:r w:rsidRPr="00F67ACE">
        <w:rPr>
          <w:rFonts w:ascii="Cambria" w:hAnsi="Cambria"/>
          <w:sz w:val="24"/>
          <w:szCs w:val="24"/>
        </w:rPr>
        <w:t xml:space="preserve"> </w:t>
      </w:r>
    </w:p>
    <w:p w:rsidR="00901D5D" w:rsidRDefault="00901D5D" w:rsidP="00901D5D">
      <w:pPr>
        <w:pStyle w:val="AralkYok"/>
        <w:jc w:val="both"/>
        <w:rPr>
          <w:rFonts w:ascii="Cambria" w:hAnsi="Cambria" w:cs="Tahoma"/>
          <w:color w:val="000000"/>
          <w:sz w:val="24"/>
          <w:szCs w:val="24"/>
          <w:shd w:val="clear" w:color="auto" w:fill="FFFFFF"/>
        </w:rPr>
      </w:pPr>
      <w:r w:rsidRPr="00F67ACE">
        <w:rPr>
          <w:rFonts w:ascii="Cambria" w:hAnsi="Cambria" w:cs="Tahoma"/>
          <w:b/>
          <w:color w:val="000000"/>
          <w:sz w:val="24"/>
          <w:szCs w:val="24"/>
          <w:shd w:val="clear" w:color="auto" w:fill="FFFFFF"/>
        </w:rPr>
        <w:t xml:space="preserve">DAVETİ TALEP OLUNAN   : </w:t>
      </w:r>
      <w:r>
        <w:rPr>
          <w:rFonts w:ascii="Cambria" w:hAnsi="Cambria" w:cs="Tahoma"/>
          <w:color w:val="000000"/>
          <w:sz w:val="24"/>
          <w:szCs w:val="24"/>
          <w:shd w:val="clear" w:color="auto" w:fill="FFFFFF"/>
        </w:rPr>
        <w:t xml:space="preserve"> </w:t>
      </w:r>
    </w:p>
    <w:p w:rsidR="00901D5D" w:rsidRPr="00F67ACE" w:rsidRDefault="00901D5D" w:rsidP="00901D5D">
      <w:pPr>
        <w:pStyle w:val="AralkYok"/>
        <w:jc w:val="both"/>
        <w:rPr>
          <w:rFonts w:ascii="Cambria" w:hAnsi="Cambria"/>
          <w:b/>
          <w:sz w:val="24"/>
          <w:szCs w:val="24"/>
        </w:rPr>
      </w:pPr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 w:rsidRPr="00742F26">
        <w:rPr>
          <w:rFonts w:ascii="Cambria" w:eastAsia="Calibri" w:hAnsi="Cambria" w:cs="Times New Roman"/>
          <w:b/>
          <w:sz w:val="24"/>
          <w:szCs w:val="24"/>
          <w:lang w:val="en-US"/>
        </w:rPr>
        <w:t>KONU</w:t>
      </w:r>
      <w:r w:rsidRPr="00742F26">
        <w:rPr>
          <w:rFonts w:ascii="Cambria" w:eastAsia="Calibri" w:hAnsi="Cambria" w:cs="Times New Roman"/>
          <w:b/>
          <w:sz w:val="24"/>
          <w:szCs w:val="24"/>
          <w:lang w:val="en-US"/>
        </w:rPr>
        <w:tab/>
      </w:r>
      <w:r w:rsidRPr="00742F26">
        <w:rPr>
          <w:rFonts w:ascii="Cambria" w:eastAsia="Calibri" w:hAnsi="Cambria" w:cs="Times New Roman"/>
          <w:b/>
          <w:sz w:val="24"/>
          <w:szCs w:val="24"/>
          <w:lang w:val="en-US"/>
        </w:rPr>
        <w:tab/>
        <w:t xml:space="preserve"> : 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/>
        </w:rPr>
        <w:t>Talepte</w:t>
      </w:r>
      <w:proofErr w:type="spellEnd"/>
      <w:r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/>
        </w:rPr>
        <w:t>bulunan</w:t>
      </w:r>
      <w:proofErr w:type="spellEnd"/>
      <w:r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/>
        </w:rPr>
        <w:t>ile</w:t>
      </w:r>
      <w:proofErr w:type="spellEnd"/>
      <w:r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/>
        </w:rPr>
        <w:t>daveti</w:t>
      </w:r>
      <w:proofErr w:type="spellEnd"/>
      <w:r>
        <w:rPr>
          <w:rFonts w:ascii="Cambria" w:eastAsia="Calibri" w:hAnsi="Cambria" w:cs="Times New Roman"/>
          <w:sz w:val="24"/>
          <w:szCs w:val="24"/>
          <w:lang w:val="en-US"/>
        </w:rPr>
        <w:t xml:space="preserve"> talep 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/>
        </w:rPr>
        <w:t>olunan</w:t>
      </w:r>
      <w:proofErr w:type="spellEnd"/>
      <w:r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/>
        </w:rPr>
        <w:t>arasındaki</w:t>
      </w:r>
      <w:proofErr w:type="spellEnd"/>
      <w:r>
        <w:rPr>
          <w:rFonts w:ascii="Cambria" w:eastAsia="Calibri" w:hAnsi="Cambria" w:cs="Times New Roman"/>
          <w:sz w:val="24"/>
          <w:szCs w:val="24"/>
          <w:lang w:val="en-US"/>
        </w:rPr>
        <w:t xml:space="preserve">  “  ………. “ 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/>
        </w:rPr>
        <w:t>konulara</w:t>
      </w:r>
      <w:proofErr w:type="spellEnd"/>
      <w:r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/>
        </w:rPr>
        <w:t>ilişkin</w:t>
      </w:r>
      <w:proofErr w:type="spellEnd"/>
      <w:r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/>
        </w:rPr>
        <w:t>uyuşmazlık</w:t>
      </w:r>
      <w:proofErr w:type="spellEnd"/>
      <w:r>
        <w:rPr>
          <w:rFonts w:ascii="Cambria" w:eastAsia="Calibri" w:hAnsi="Cambria" w:cs="Times New Roman"/>
          <w:sz w:val="24"/>
          <w:szCs w:val="24"/>
          <w:lang w:val="en-US"/>
        </w:rPr>
        <w:t xml:space="preserve">. </w:t>
      </w:r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 w:rsidRPr="00742F26">
        <w:rPr>
          <w:rFonts w:ascii="Cambria" w:eastAsia="Calibri" w:hAnsi="Cambria" w:cs="Times New Roman"/>
          <w:b/>
          <w:sz w:val="24"/>
          <w:szCs w:val="24"/>
          <w:lang w:val="en-US"/>
        </w:rPr>
        <w:t>ÜCRET</w:t>
      </w:r>
      <w:r w:rsidRPr="00742F26">
        <w:rPr>
          <w:rFonts w:ascii="Cambria" w:eastAsia="Calibri" w:hAnsi="Cambria" w:cs="Times New Roman"/>
          <w:b/>
          <w:sz w:val="24"/>
          <w:szCs w:val="24"/>
          <w:lang w:val="en-US"/>
        </w:rPr>
        <w:tab/>
      </w:r>
      <w:r w:rsidRPr="00742F26">
        <w:rPr>
          <w:rFonts w:ascii="Cambria" w:eastAsia="Calibri" w:hAnsi="Cambria" w:cs="Times New Roman"/>
          <w:b/>
          <w:sz w:val="24"/>
          <w:szCs w:val="24"/>
          <w:lang w:val="en-US"/>
        </w:rPr>
        <w:tab/>
        <w:t xml:space="preserve"> :</w:t>
      </w:r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ücreti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6325 Sayılı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Yasası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gereği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aksi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taraflarca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kararlaştırılmadığı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takdirde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taraflarca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eşit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olarak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ödenir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. Bir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miktar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; üzerinde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anlaşmaya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varılıp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bu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miktarın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tutanağına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bağlaması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halinde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bu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miktar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üzerinden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nisbi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ücreti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tahakkuk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etmektedir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/>
        </w:rPr>
        <w:t>Nisbi</w:t>
      </w:r>
      <w:proofErr w:type="spellEnd"/>
      <w:r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/>
        </w:rPr>
        <w:t>ücreti</w:t>
      </w:r>
      <w:proofErr w:type="spellEnd"/>
      <w:r>
        <w:rPr>
          <w:rFonts w:ascii="Cambria" w:eastAsia="Calibri" w:hAnsi="Cambria" w:cs="Times New Roman"/>
          <w:sz w:val="24"/>
          <w:szCs w:val="24"/>
          <w:lang w:val="en-US"/>
        </w:rPr>
        <w:t xml:space="preserve"> 2020 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/>
        </w:rPr>
        <w:t>yılı</w:t>
      </w:r>
      <w:proofErr w:type="spellEnd"/>
      <w:r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/>
        </w:rPr>
        <w:t>için</w:t>
      </w:r>
      <w:proofErr w:type="spellEnd"/>
      <w:r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/>
        </w:rPr>
        <w:t>geçerli</w:t>
      </w:r>
      <w:proofErr w:type="spellEnd"/>
      <w:r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/>
        </w:rPr>
        <w:t>tarife</w:t>
      </w:r>
      <w:proofErr w:type="spellEnd"/>
      <w:r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/>
        </w:rPr>
        <w:t>gereği</w:t>
      </w:r>
      <w:proofErr w:type="spellEnd"/>
      <w:r>
        <w:rPr>
          <w:rFonts w:ascii="Cambria" w:eastAsia="Calibri" w:hAnsi="Cambria" w:cs="Times New Roman"/>
          <w:sz w:val="24"/>
          <w:szCs w:val="24"/>
          <w:lang w:val="en-US"/>
        </w:rPr>
        <w:t xml:space="preserve"> ilk 35.000-TL 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/>
        </w:rPr>
        <w:t>için</w:t>
      </w:r>
      <w:proofErr w:type="spellEnd"/>
      <w:r>
        <w:rPr>
          <w:rFonts w:ascii="Cambria" w:eastAsia="Calibri" w:hAnsi="Cambria" w:cs="Times New Roman"/>
          <w:sz w:val="24"/>
          <w:szCs w:val="24"/>
          <w:lang w:val="en-US"/>
        </w:rPr>
        <w:t xml:space="preserve"> %6 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/>
        </w:rPr>
        <w:t>oranındadır</w:t>
      </w:r>
      <w:proofErr w:type="spellEnd"/>
      <w:r>
        <w:rPr>
          <w:rFonts w:ascii="Cambria" w:eastAsia="Calibri" w:hAnsi="Cambria" w:cs="Times New Roman"/>
          <w:sz w:val="24"/>
          <w:szCs w:val="24"/>
          <w:lang w:val="en-US"/>
        </w:rPr>
        <w:t xml:space="preserve">. </w:t>
      </w:r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  <w:lang w:val="en-US"/>
        </w:rPr>
      </w:pPr>
    </w:p>
    <w:p w:rsidR="00901D5D" w:rsidRPr="0061216F" w:rsidRDefault="00901D5D" w:rsidP="00901D5D">
      <w:pPr>
        <w:spacing w:after="0" w:line="240" w:lineRule="auto"/>
        <w:jc w:val="both"/>
        <w:rPr>
          <w:rFonts w:ascii="Cambria" w:hAnsi="Cambria" w:cs="Tahoma"/>
          <w:b/>
          <w:color w:val="000000"/>
          <w:sz w:val="24"/>
          <w:szCs w:val="24"/>
          <w:shd w:val="clear" w:color="auto" w:fill="FFFFFF"/>
        </w:rPr>
      </w:pPr>
      <w:r w:rsidRPr="00742F26">
        <w:rPr>
          <w:rFonts w:ascii="Cambria" w:hAnsi="Cambria" w:cs="Tahoma"/>
          <w:b/>
          <w:color w:val="000000"/>
          <w:sz w:val="24"/>
          <w:szCs w:val="24"/>
          <w:shd w:val="clear" w:color="auto" w:fill="FFFFFF"/>
        </w:rPr>
        <w:t xml:space="preserve">Sayın </w:t>
      </w:r>
      <w:r>
        <w:rPr>
          <w:rFonts w:ascii="Cambria" w:hAnsi="Cambria" w:cs="Tahoma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  <w:lang w:val="en-US"/>
        </w:rPr>
      </w:pPr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Talepte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bulunan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ile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aranızdaki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yukarıda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belirtilen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uyuşmazlığın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,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yöntemi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ile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çözümlenmesi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için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,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talepte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bulunanın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tarafımıza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başvurusu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üzerine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işbu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davet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tarafımızca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hazırlanmıştır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>.</w:t>
      </w:r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, 6325 sayılı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Hukuk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Uyuşmazlıklarında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Kanunu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ile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hukuk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sistemimize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girmiş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olan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alternatif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bir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uyuşmazlık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çözüm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biçimidir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.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Kasım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2013 den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itibaren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ülkemizde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etkin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şekilde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uygulanmaktadır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. </w:t>
      </w:r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görüşmeleri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Adalet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Bakanlığı’na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bağlı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biz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Arabulucular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nezdinde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tarafların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bir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araya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gelmesi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ile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yapılmakta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,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süreci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ve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sürec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sonunda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imzalanan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Anlaşma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tutanağı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içeriği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tamamen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gizli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tutulmaktadır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.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Gizlilik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ilkesine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hem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tarafların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hem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arabulucunun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uyması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zorunlu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olup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,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aksi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davranışın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hukuki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ve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cezai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sorumluluğu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bulunmaktadır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. </w:t>
      </w:r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iradi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bir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kurum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olup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,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taraflar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,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bu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sürece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başlamakta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,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yürütmekte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ve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süreci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sonlandırmakta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tamamen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serbesttirler.Arabuluculuk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yöntemine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başvurulmuş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olması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ileride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anlaşma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olmaması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halinde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o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konuda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dava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açılmasına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da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engel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teşkil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etmemektedir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.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görüşmeleri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sırasındaki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tarafların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beyanları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ileride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dava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açılması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halinde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taraflarca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mahkemede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delil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olarak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kullanılamaz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. </w:t>
      </w:r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,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ekonomik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,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hızlı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,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etkin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bir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Alternatif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Çözüm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Yöntemidir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.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sürecinde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harç ,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gider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avansı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gibi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ödemeler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masraflar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yoktur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. Bir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iki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saat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içinde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dahi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uyuşmazlık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çözüme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kavuşturulabilmektedir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.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süreci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sonunda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tarafların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anlaştığı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çözüm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tarafından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tutunağına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geçirilir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taraflar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ve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tarafından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imzalanarak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bu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tutanak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tüm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tarafları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bağlar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. Bu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tutanağı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taraflardan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biri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tarafından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ilamlı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icraya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konulmak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istenirse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Mahkemeye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başvurularak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icra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edilebilirlik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şerhi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kısa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sürede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alınabilir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.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Mahkeme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icra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edilebilirlik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şerhi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verirken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Tutanağının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içeriğini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değil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yanlızca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şeklen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incelemesini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yapılabilir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ve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uyuşmazlık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konusu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yolu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ile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çözüme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müsait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bir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konu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ise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icra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edilebilirlik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şerhini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verir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. Bu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halde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artık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icra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edilebilirlik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şerhi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alınmış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tutanağı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ilamlı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icra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yolu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ile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icra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takibine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konu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edilebilir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. Her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iki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taraf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vekilinin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katılımı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ile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birlikte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lastRenderedPageBreak/>
        <w:t>düzenlenen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tutanağı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için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icra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edilebilirlik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şerhi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alınmasına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gerek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olmayıp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bu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tutanak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direk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ilamlı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icraya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konu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yapılabilmektedir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. </w:t>
      </w:r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görüşmelerine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/>
        </w:rPr>
        <w:t>bizzat</w:t>
      </w:r>
      <w:proofErr w:type="spellEnd"/>
      <w:r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/>
        </w:rPr>
        <w:t>kendiniz</w:t>
      </w:r>
      <w:proofErr w:type="spellEnd"/>
      <w:r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katılabileceğiniz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gibi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avukatınız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ile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birlikte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katılabilirsiniz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ya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da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vekaletnamesinde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özel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yetki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“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görüşmelerine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katılma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yetkisi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“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bulunan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avukatınızda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tek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başına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sizi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temsilen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görüşmelere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katılabilir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. </w:t>
      </w:r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</w:p>
    <w:p w:rsidR="00901D5D" w:rsidRPr="00DA4342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  <w:lang w:val="en-US"/>
        </w:rPr>
      </w:pPr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Başvuru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sahibinin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aranızdaki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uyuşmazlığın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,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yöntemi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ile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çözülmesine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teklifine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icabet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ederek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Sürecini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başlatmak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istemeniz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halinde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en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geç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30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gün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içinde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Adalet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Bakanlığına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bağlı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253 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Sicil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Numaralı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olan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şahsımla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iletişime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geçmeniz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gerekmektedir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, 30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gün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içinde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cevap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verilmediği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takdirde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teklifi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tarafınızca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reddedilmiş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sayılacaktır.Tarafınızca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arabuluculuk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davetinin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kabulü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halinde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en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kısa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zamanda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taraflar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bir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araya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getirilerek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görüşmelere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sz w:val="24"/>
          <w:szCs w:val="24"/>
          <w:lang w:val="en-US"/>
        </w:rPr>
        <w:t>başlanacaktır</w:t>
      </w:r>
      <w:proofErr w:type="spellEnd"/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. </w:t>
      </w:r>
      <w:r>
        <w:rPr>
          <w:rFonts w:ascii="Cambria" w:eastAsia="Calibri" w:hAnsi="Cambria" w:cs="Times New Roman"/>
          <w:b/>
          <w:sz w:val="24"/>
          <w:szCs w:val="24"/>
          <w:lang w:val="en-US"/>
        </w:rPr>
        <w:t xml:space="preserve">…../…../2020 </w:t>
      </w:r>
    </w:p>
    <w:p w:rsidR="00901D5D" w:rsidRPr="00DA4342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  <w:lang w:val="en-US"/>
        </w:rPr>
      </w:pPr>
      <w:r w:rsidRPr="00DA4342">
        <w:rPr>
          <w:rFonts w:ascii="Cambria" w:eastAsia="Calibri" w:hAnsi="Cambria" w:cs="Times New Roman"/>
          <w:b/>
          <w:sz w:val="24"/>
          <w:szCs w:val="24"/>
          <w:lang w:val="en-US"/>
        </w:rPr>
        <w:t xml:space="preserve"> </w:t>
      </w:r>
    </w:p>
    <w:p w:rsidR="00901D5D" w:rsidRPr="00DA4342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  <w:lang w:val="en-US"/>
        </w:rPr>
      </w:pPr>
    </w:p>
    <w:p w:rsidR="00901D5D" w:rsidRPr="00DA4342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  <w:lang w:val="en-US"/>
        </w:rPr>
      </w:pPr>
      <w:r w:rsidRPr="00DA4342">
        <w:rPr>
          <w:rFonts w:ascii="Cambria" w:eastAsia="Calibri" w:hAnsi="Cambria" w:cs="Times New Roman"/>
          <w:b/>
          <w:sz w:val="24"/>
          <w:szCs w:val="24"/>
          <w:lang w:val="en-US"/>
        </w:rPr>
        <w:t xml:space="preserve">                                                                                        </w:t>
      </w:r>
      <w:proofErr w:type="spellStart"/>
      <w:r w:rsidRPr="00DA4342">
        <w:rPr>
          <w:rFonts w:ascii="Cambria" w:eastAsia="Calibri" w:hAnsi="Cambria" w:cs="Times New Roman"/>
          <w:b/>
          <w:sz w:val="24"/>
          <w:szCs w:val="24"/>
          <w:lang w:val="en-US"/>
        </w:rPr>
        <w:t>Arabulucu</w:t>
      </w:r>
      <w:proofErr w:type="spellEnd"/>
      <w:r w:rsidRPr="00DA4342">
        <w:rPr>
          <w:rFonts w:ascii="Cambria" w:eastAsia="Calibri" w:hAnsi="Cambria" w:cs="Times New Roman"/>
          <w:b/>
          <w:sz w:val="24"/>
          <w:szCs w:val="24"/>
          <w:lang w:val="en-US"/>
        </w:rPr>
        <w:t xml:space="preserve"> Av. </w:t>
      </w:r>
      <w:proofErr w:type="spellStart"/>
      <w:r w:rsidRPr="00DA4342">
        <w:rPr>
          <w:rFonts w:ascii="Cambria" w:eastAsia="Calibri" w:hAnsi="Cambria" w:cs="Times New Roman"/>
          <w:b/>
          <w:sz w:val="24"/>
          <w:szCs w:val="24"/>
          <w:lang w:val="en-US"/>
        </w:rPr>
        <w:t>Hakkı</w:t>
      </w:r>
      <w:proofErr w:type="spellEnd"/>
      <w:r w:rsidRPr="00DA4342">
        <w:rPr>
          <w:rFonts w:ascii="Cambria" w:eastAsia="Calibri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Pr="00DA4342">
        <w:rPr>
          <w:rFonts w:ascii="Cambria" w:eastAsia="Calibri" w:hAnsi="Cambria" w:cs="Times New Roman"/>
          <w:b/>
          <w:sz w:val="24"/>
          <w:szCs w:val="24"/>
          <w:lang w:val="en-US"/>
        </w:rPr>
        <w:t>Savunur</w:t>
      </w:r>
      <w:proofErr w:type="spellEnd"/>
      <w:r w:rsidRPr="00DA4342">
        <w:rPr>
          <w:rFonts w:ascii="Cambria" w:eastAsia="Calibri" w:hAnsi="Cambria" w:cs="Times New Roman"/>
          <w:b/>
          <w:sz w:val="24"/>
          <w:szCs w:val="24"/>
          <w:lang w:val="en-US"/>
        </w:rPr>
        <w:t xml:space="preserve"> SOĞANCI </w:t>
      </w:r>
    </w:p>
    <w:p w:rsidR="00901D5D" w:rsidRPr="00DA4342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  <w:lang w:val="en-US"/>
        </w:rPr>
      </w:pPr>
      <w:r w:rsidRPr="00DA4342">
        <w:rPr>
          <w:rFonts w:ascii="Cambria" w:eastAsia="Calibri" w:hAnsi="Cambria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</w:t>
      </w:r>
      <w:proofErr w:type="spellStart"/>
      <w:r w:rsidRPr="00DA4342">
        <w:rPr>
          <w:rFonts w:ascii="Cambria" w:eastAsia="Calibri" w:hAnsi="Cambria" w:cs="Times New Roman"/>
          <w:b/>
          <w:sz w:val="24"/>
          <w:szCs w:val="24"/>
          <w:lang w:val="en-US"/>
        </w:rPr>
        <w:t>Sicil</w:t>
      </w:r>
      <w:proofErr w:type="spellEnd"/>
      <w:r w:rsidRPr="00DA4342">
        <w:rPr>
          <w:rFonts w:ascii="Cambria" w:eastAsia="Calibri" w:hAnsi="Cambria" w:cs="Times New Roman"/>
          <w:b/>
          <w:sz w:val="24"/>
          <w:szCs w:val="24"/>
          <w:lang w:val="en-US"/>
        </w:rPr>
        <w:t xml:space="preserve"> No : 253 </w:t>
      </w:r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 </w:t>
      </w:r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proofErr w:type="spellStart"/>
      <w:r w:rsidRPr="00742F26"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  <w:t>Arabulucu</w:t>
      </w:r>
      <w:proofErr w:type="spellEnd"/>
      <w:r w:rsidRPr="00742F26"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  <w:t>İletişim</w:t>
      </w:r>
      <w:proofErr w:type="spellEnd"/>
      <w:r w:rsidRPr="00742F26"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  <w:t>Bilgileri</w:t>
      </w:r>
      <w:proofErr w:type="spellEnd"/>
      <w:r w:rsidRPr="00742F26"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  <w:t>:</w:t>
      </w:r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</w:p>
    <w:p w:rsidR="00901D5D" w:rsidRPr="00742F26" w:rsidRDefault="00901D5D" w:rsidP="00901D5D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proofErr w:type="spellStart"/>
      <w:r w:rsidRPr="00742F26"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  <w:t>Arabulucu</w:t>
      </w:r>
      <w:proofErr w:type="spellEnd"/>
      <w:r w:rsidRPr="00742F26"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  <w:t>Adres</w:t>
      </w:r>
      <w:proofErr w:type="spellEnd"/>
      <w:r w:rsidRPr="00742F26"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742F26"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  <w:t>Bilgisi</w:t>
      </w:r>
      <w:proofErr w:type="spellEnd"/>
      <w:r w:rsidRPr="00742F26">
        <w:rPr>
          <w:rFonts w:ascii="Cambria" w:eastAsia="Calibri" w:hAnsi="Cambria" w:cs="Times New Roman"/>
          <w:b/>
          <w:sz w:val="24"/>
          <w:szCs w:val="24"/>
          <w:u w:val="single"/>
          <w:lang w:val="en-US"/>
        </w:rPr>
        <w:t>:</w:t>
      </w:r>
      <w:r w:rsidRPr="00742F26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r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</w:p>
    <w:p w:rsidR="00901D5D" w:rsidRDefault="00901D5D" w:rsidP="00901D5D"/>
    <w:p w:rsidR="00901D5D" w:rsidRDefault="00901D5D" w:rsidP="00901D5D"/>
    <w:p w:rsidR="00901D5D" w:rsidRDefault="00901D5D" w:rsidP="00901D5D"/>
    <w:p w:rsidR="00901D5D" w:rsidRDefault="00901D5D" w:rsidP="00901D5D">
      <w:r>
        <w:t xml:space="preserve">( Arabuluculuk sürecine ilişkin bilgi almak , aklınıza takılanları sormak için yukarıdaki iletişim vasıtaları ile tarafıma mesai gün ve saatleri arasında ulaşabilirsiniz. ) </w:t>
      </w:r>
    </w:p>
    <w:p w:rsidR="00EF0A8C" w:rsidRDefault="00EF0A8C"/>
    <w:sectPr w:rsidR="00EF0A8C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403138"/>
      <w:docPartObj>
        <w:docPartGallery w:val="Page Numbers (Top of Page)"/>
        <w:docPartUnique/>
      </w:docPartObj>
    </w:sdtPr>
    <w:sdtEndPr/>
    <w:sdtContent>
      <w:p w:rsidR="00011726" w:rsidRDefault="00901D5D">
        <w:pPr>
          <w:pStyle w:val="s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11726" w:rsidRDefault="00901D5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5D"/>
    <w:rsid w:val="00901D5D"/>
    <w:rsid w:val="00E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970E"/>
  <w15:chartTrackingRefBased/>
  <w15:docId w15:val="{123C80FA-D3FA-40F8-885E-D6737207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5D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1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1D5D"/>
    <w:rPr>
      <w:lang w:val="tr-TR"/>
    </w:rPr>
  </w:style>
  <w:style w:type="paragraph" w:styleId="AralkYok">
    <w:name w:val="No Spacing"/>
    <w:uiPriority w:val="1"/>
    <w:qFormat/>
    <w:rsid w:val="00901D5D"/>
    <w:pPr>
      <w:spacing w:after="0" w:line="240" w:lineRule="auto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HAKKI SAVUNUR SOĞANCI</dc:creator>
  <cp:keywords/>
  <dc:description/>
  <cp:lastModifiedBy>HAKKI SAVUNUR SOĞANCI</cp:lastModifiedBy>
  <cp:revision>1</cp:revision>
  <dcterms:created xsi:type="dcterms:W3CDTF">2020-03-13T19:19:00Z</dcterms:created>
  <dcterms:modified xsi:type="dcterms:W3CDTF">2020-03-13T19:20:00Z</dcterms:modified>
</cp:coreProperties>
</file>