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56" w:rsidRDefault="00713656" w:rsidP="00713656">
      <w:pPr>
        <w:widowControl w:val="0"/>
        <w:autoSpaceDE w:val="0"/>
        <w:autoSpaceDN w:val="0"/>
        <w:spacing w:before="163" w:after="0" w:line="240" w:lineRule="auto"/>
        <w:ind w:left="567" w:right="567"/>
        <w:jc w:val="center"/>
        <w:outlineLvl w:val="4"/>
        <w:rPr>
          <w:rFonts w:ascii="Trebuchet MS" w:eastAsia="Trebuchet MS" w:hAnsi="Trebuchet MS" w:cs="Trebuchet MS"/>
          <w:b/>
          <w:bCs/>
          <w:sz w:val="24"/>
          <w:szCs w:val="24"/>
          <w:lang w:val="en-GB" w:eastAsia="en-GB" w:bidi="en-GB"/>
        </w:rPr>
      </w:pPr>
      <w:r>
        <w:rPr>
          <w:rFonts w:ascii="Trebuchet MS" w:eastAsia="Trebuchet MS" w:hAnsi="Trebuchet MS" w:cs="Trebuchet MS"/>
          <w:b/>
          <w:bCs/>
          <w:color w:val="231F20"/>
          <w:w w:val="85"/>
          <w:sz w:val="24"/>
          <w:szCs w:val="24"/>
          <w:lang w:val="en-GB" w:eastAsia="en-GB" w:bidi="en-GB"/>
        </w:rPr>
        <w:t>ARABULUCULUK  SÖZLEŞMESİ</w:t>
      </w:r>
    </w:p>
    <w:p w:rsidR="00713656" w:rsidRDefault="00713656" w:rsidP="00713656">
      <w:pPr>
        <w:widowControl w:val="0"/>
        <w:autoSpaceDE w:val="0"/>
        <w:autoSpaceDN w:val="0"/>
        <w:spacing w:before="209"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70"/>
          <w:sz w:val="20"/>
          <w:szCs w:val="20"/>
          <w:lang w:val="en-GB" w:eastAsia="en-GB" w:bidi="en-GB"/>
        </w:rPr>
        <w:t>TARAF 1 :</w:t>
      </w:r>
    </w:p>
    <w:p w:rsidR="00713656" w:rsidRDefault="00713656" w:rsidP="00713656">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TC Kimlik no.[/ticaret sicil no.]ve adres)</w:t>
      </w:r>
    </w:p>
    <w:p w:rsidR="00713656" w:rsidRDefault="00713656" w:rsidP="00713656">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713656" w:rsidRDefault="00713656" w:rsidP="00713656">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TARAF 2 :</w:t>
      </w:r>
    </w:p>
    <w:p w:rsidR="00713656" w:rsidRDefault="00713656" w:rsidP="00713656">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TC Kimlik no.[/ticaret sicil no.]ve adres)</w:t>
      </w:r>
    </w:p>
    <w:p w:rsidR="00713656" w:rsidRDefault="00713656" w:rsidP="00713656">
      <w:pPr>
        <w:widowControl w:val="0"/>
        <w:autoSpaceDE w:val="0"/>
        <w:autoSpaceDN w:val="0"/>
        <w:spacing w:before="2" w:after="0" w:line="240" w:lineRule="auto"/>
        <w:ind w:left="567" w:right="567"/>
        <w:jc w:val="both"/>
        <w:rPr>
          <w:rFonts w:ascii="Arial Narrow" w:eastAsia="Arial Narrow" w:hAnsi="Arial Narrow" w:cs="Arial Narrow"/>
          <w:sz w:val="19"/>
          <w:szCs w:val="20"/>
          <w:lang w:val="en-GB" w:eastAsia="en-GB" w:bidi="en-GB"/>
        </w:rPr>
      </w:pPr>
    </w:p>
    <w:p w:rsidR="00713656" w:rsidRDefault="00713656" w:rsidP="00713656">
      <w:pPr>
        <w:widowControl w:val="0"/>
        <w:autoSpaceDE w:val="0"/>
        <w:autoSpaceDN w:val="0"/>
        <w:spacing w:after="0" w:line="240" w:lineRule="auto"/>
        <w:ind w:right="567"/>
        <w:jc w:val="both"/>
        <w:outlineLvl w:val="6"/>
        <w:rPr>
          <w:rFonts w:ascii="Trebuchet MS" w:eastAsia="Trebuchet MS" w:hAnsi="Trebuchet MS" w:cs="Trebuchet MS"/>
          <w:b/>
          <w:bCs/>
          <w:sz w:val="20"/>
          <w:szCs w:val="20"/>
          <w:lang w:val="en-GB" w:eastAsia="en-GB" w:bidi="en-GB"/>
        </w:rPr>
      </w:pPr>
      <w:r>
        <w:rPr>
          <w:rFonts w:ascii="Trebuchet MS" w:eastAsia="Trebuchet MS" w:hAnsi="Trebuchet MS" w:cs="Trebuchet MS"/>
          <w:b/>
          <w:bCs/>
          <w:color w:val="231F20"/>
          <w:w w:val="80"/>
          <w:sz w:val="20"/>
          <w:szCs w:val="20"/>
          <w:lang w:val="en-GB" w:eastAsia="en-GB" w:bidi="en-GB"/>
        </w:rPr>
        <w:t>ARABULUCU :</w:t>
      </w:r>
    </w:p>
    <w:p w:rsidR="00713656" w:rsidRDefault="00713656" w:rsidP="00713656">
      <w:pPr>
        <w:widowControl w:val="0"/>
        <w:autoSpaceDE w:val="0"/>
        <w:autoSpaceDN w:val="0"/>
        <w:spacing w:before="105" w:after="0" w:line="24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(Ad, soyad, arabuluculuk sicil no. ve adres)</w:t>
      </w:r>
    </w:p>
    <w:p w:rsidR="00713656" w:rsidRDefault="00713656" w:rsidP="00713656">
      <w:pPr>
        <w:widowControl w:val="0"/>
        <w:autoSpaceDE w:val="0"/>
        <w:autoSpaceDN w:val="0"/>
        <w:spacing w:before="3" w:after="0" w:line="240" w:lineRule="auto"/>
        <w:ind w:left="567" w:right="567"/>
        <w:jc w:val="both"/>
        <w:rPr>
          <w:rFonts w:ascii="Arial Narrow" w:eastAsia="Arial Narrow" w:hAnsi="Arial Narrow" w:cs="Arial Narrow"/>
          <w:sz w:val="18"/>
          <w:szCs w:val="20"/>
          <w:lang w:val="en-GB" w:eastAsia="en-GB" w:bidi="en-GB"/>
        </w:rPr>
      </w:pPr>
    </w:p>
    <w:p w:rsidR="00713656" w:rsidRDefault="00713656" w:rsidP="00713656">
      <w:pPr>
        <w:widowControl w:val="0"/>
        <w:autoSpaceDE w:val="0"/>
        <w:autoSpaceDN w:val="0"/>
        <w:spacing w:before="1"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İşbu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sözleşme</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tarafından</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1</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4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 2'ye (“Taraflar”) verilecek arabuluculuk hizmetine ilişkin olup</w:t>
      </w:r>
      <w:r>
        <w:rPr>
          <w:rFonts w:ascii="Arial Narrow" w:eastAsia="Arial Narrow" w:hAnsi="Arial Narrow" w:cs="Arial Narrow"/>
          <w:color w:val="231F20"/>
          <w:spacing w:val="-2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karşılıklı</w:t>
      </w:r>
      <w:r>
        <w:rPr>
          <w:rFonts w:ascii="Arial Narrow" w:eastAsia="Arial Narrow" w:hAnsi="Arial Narrow" w:cs="Arial Narrow"/>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hak ve</w:t>
      </w:r>
      <w:r>
        <w:rPr>
          <w:rFonts w:ascii="Arial Narrow" w:eastAsia="Arial Narrow" w:hAnsi="Arial Narrow" w:cs="Arial Narrow"/>
          <w:color w:val="231F20"/>
          <w:spacing w:val="-20"/>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yükümlülükleri</w:t>
      </w:r>
      <w:r>
        <w:rPr>
          <w:rFonts w:ascii="Arial Narrow" w:eastAsia="Arial Narrow" w:hAnsi="Arial Narrow" w:cs="Arial Narrow"/>
          <w:color w:val="231F20"/>
          <w:spacing w:val="-10"/>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kapsar.</w:t>
      </w:r>
    </w:p>
    <w:p w:rsidR="00713656" w:rsidRDefault="00713656" w:rsidP="00713656">
      <w:pPr>
        <w:widowControl w:val="0"/>
        <w:tabs>
          <w:tab w:val="right" w:pos="8718"/>
        </w:tabs>
        <w:autoSpaceDE w:val="0"/>
        <w:autoSpaceDN w:val="0"/>
        <w:spacing w:after="0" w:line="276" w:lineRule="exact"/>
        <w:ind w:left="567" w:right="567"/>
        <w:jc w:val="both"/>
        <w:rPr>
          <w:rFonts w:ascii="Arial Narrow" w:eastAsia="Arial Narrow" w:hAnsi="Arial Narrow" w:cs="Arial Narrow"/>
          <w:sz w:val="24"/>
          <w:szCs w:val="20"/>
          <w:lang w:val="en-GB" w:eastAsia="en-GB" w:bidi="en-GB"/>
        </w:rPr>
      </w:pPr>
      <w:r>
        <w:rPr>
          <w:rFonts w:ascii="Arial Narrow" w:eastAsia="Arial Narrow" w:hAnsi="Arial Narrow" w:cs="Arial Narrow"/>
          <w:color w:val="231F20"/>
          <w:w w:val="120"/>
          <w:position w:val="-3"/>
          <w:sz w:val="20"/>
          <w:szCs w:val="20"/>
          <w:lang w:val="en-GB" w:eastAsia="en-GB" w:bidi="en-GB"/>
        </w:rPr>
        <w:tab/>
      </w:r>
    </w:p>
    <w:p w:rsidR="00713656" w:rsidRDefault="00713656" w:rsidP="00713656">
      <w:pPr>
        <w:widowControl w:val="0"/>
        <w:autoSpaceDE w:val="0"/>
        <w:autoSpaceDN w:val="0"/>
        <w:spacing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Arabulucu, 6325 sayılı Hukuk Uyuşmazlıklarında Arabuluculuk Kanunu ve ilgili mevzuat çerçevesinde arabuluculuk sözleşmesine göre arabuluculuk faaliyetini yürütmeyi; taraflar da onun ücret ve masraflarını ödemeyi kabul eder.</w:t>
      </w:r>
    </w:p>
    <w:p w:rsidR="00713656" w:rsidRDefault="00713656" w:rsidP="00713656">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sistematik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teknikler</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uygulayarak,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görüşmek</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20"/>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müzakerelerde bulunmak</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amacıyla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tarafları</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bir</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araya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getirip</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onların</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birbirlerini</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anlamalarını</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bu</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suretle</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çözümlerini</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kendilerinin</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üretmeleri</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için</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aralarında</w:t>
      </w:r>
      <w:r>
        <w:rPr>
          <w:rFonts w:ascii="Arial Narrow" w:eastAsia="Arial Narrow" w:hAnsi="Arial Narrow" w:cs="Arial Narrow"/>
          <w:color w:val="231F20"/>
          <w:spacing w:val="-8"/>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iletişim sürecinin kurulmasını</w:t>
      </w:r>
      <w:r>
        <w:rPr>
          <w:rFonts w:ascii="Arial Narrow" w:eastAsia="Arial Narrow" w:hAnsi="Arial Narrow" w:cs="Arial Narrow"/>
          <w:color w:val="231F20"/>
          <w:spacing w:val="-29"/>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sağlayacaktır.</w:t>
      </w:r>
    </w:p>
    <w:p w:rsidR="00713656" w:rsidRDefault="00713656" w:rsidP="00713656">
      <w:pPr>
        <w:widowControl w:val="0"/>
        <w:autoSpaceDE w:val="0"/>
        <w:autoSpaceDN w:val="0"/>
        <w:spacing w:before="110" w:after="0" w:line="280" w:lineRule="auto"/>
        <w:ind w:right="567"/>
        <w:jc w:val="both"/>
        <w:rPr>
          <w:rFonts w:ascii="Arial Narrow" w:eastAsia="Arial Narrow" w:hAnsi="Arial Narrow" w:cs="Arial Narrow"/>
          <w:color w:val="231F20"/>
          <w:w w:val="125"/>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KONUSU UYUŞMAZLIK : </w:t>
      </w:r>
    </w:p>
    <w:p w:rsidR="00713656" w:rsidRDefault="00713656" w:rsidP="00713656">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 xml:space="preserve">ARABULUCULUK ÜCRETİ / AVANS/ MASRAF : </w:t>
      </w:r>
    </w:p>
    <w:p w:rsidR="00713656" w:rsidRDefault="00713656" w:rsidP="00713656">
      <w:pPr>
        <w:widowControl w:val="0"/>
        <w:autoSpaceDE w:val="0"/>
        <w:autoSpaceDN w:val="0"/>
        <w:spacing w:before="110" w:after="0" w:line="28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Arabulucuya,</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yukarıda</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sözü</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edilen</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arabuluculuk</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hizmeti</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nedeniyle</w:t>
      </w:r>
      <w:r>
        <w:rPr>
          <w:rFonts w:ascii="Arial Narrow" w:eastAsia="Arial Narrow" w:hAnsi="Arial Narrow" w:cs="Arial Narrow"/>
          <w:color w:val="231F20"/>
          <w:spacing w:val="-1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xml:space="preserve">............... Lira + KDV arabuluculuk ücreti </w:t>
      </w:r>
      <w:r>
        <w:rPr>
          <w:rFonts w:ascii="Arial Narrow" w:eastAsia="Arial Narrow" w:hAnsi="Arial Narrow" w:cs="Arial Narrow"/>
          <w:color w:val="231F20"/>
          <w:w w:val="13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 Lira + KDV saat ücre</w:t>
      </w:r>
      <w:r>
        <w:rPr>
          <w:rFonts w:ascii="Arial Narrow" w:eastAsia="Arial Narrow" w:hAnsi="Arial Narrow" w:cs="Arial Narrow"/>
          <w:color w:val="231F20"/>
          <w:w w:val="130"/>
          <w:sz w:val="20"/>
          <w:szCs w:val="20"/>
          <w:lang w:val="en-GB" w:eastAsia="en-GB" w:bidi="en-GB"/>
        </w:rPr>
        <w:t xml:space="preserve">ti </w:t>
      </w:r>
      <w:r>
        <w:rPr>
          <w:rFonts w:ascii="Arial Narrow" w:eastAsia="Arial Narrow" w:hAnsi="Arial Narrow" w:cs="Arial Narrow"/>
          <w:color w:val="231F20"/>
          <w:w w:val="120"/>
          <w:sz w:val="20"/>
          <w:szCs w:val="20"/>
          <w:lang w:val="en-GB" w:eastAsia="en-GB" w:bidi="en-GB"/>
        </w:rPr>
        <w:t>ödenecektir. Arabuluculuk ücreti, masraf ya da avansı</w:t>
      </w:r>
      <w:r>
        <w:rPr>
          <w:rFonts w:ascii="Arial Narrow" w:eastAsia="Arial Narrow" w:hAnsi="Arial Narrow" w:cs="Arial Narrow"/>
          <w:color w:val="231F20"/>
          <w:spacing w:val="26"/>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arabulucunun</w:t>
      </w:r>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bankasındaki</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TR</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IBAN</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numaralı</w:t>
      </w:r>
      <w:r>
        <w:rPr>
          <w:rFonts w:ascii="Arial Narrow" w:eastAsia="Arial Narrow" w:hAnsi="Arial Narrow" w:cs="Arial Narrow"/>
          <w:color w:val="231F20"/>
          <w:spacing w:val="-34"/>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 xml:space="preserve">hesabına yatırılacaktır. Avans olarak alınan ............................... Lira + </w:t>
      </w:r>
      <w:r>
        <w:rPr>
          <w:rFonts w:ascii="Arial Narrow" w:eastAsia="Arial Narrow" w:hAnsi="Arial Narrow" w:cs="Arial Narrow"/>
          <w:color w:val="231F20"/>
          <w:spacing w:val="-4"/>
          <w:w w:val="115"/>
          <w:sz w:val="20"/>
          <w:szCs w:val="20"/>
          <w:lang w:val="en-GB" w:eastAsia="en-GB" w:bidi="en-GB"/>
        </w:rPr>
        <w:t xml:space="preserve">KDV, </w:t>
      </w:r>
      <w:r>
        <w:rPr>
          <w:rFonts w:ascii="Arial Narrow" w:eastAsia="Arial Narrow" w:hAnsi="Arial Narrow" w:cs="Arial Narrow"/>
          <w:color w:val="231F20"/>
          <w:w w:val="115"/>
          <w:sz w:val="20"/>
          <w:szCs w:val="20"/>
          <w:lang w:val="en-GB" w:eastAsia="en-GB" w:bidi="en-GB"/>
        </w:rPr>
        <w:t xml:space="preserve">ödenecek olan arabuluculuk ücretinden mahsup edilecektir. Ücret ve masraflar çıktıktan sonra avanstan arta kalan meblağ tarafların </w:t>
      </w:r>
      <w:r>
        <w:rPr>
          <w:rFonts w:ascii="Arial Narrow" w:eastAsia="Arial Narrow" w:hAnsi="Arial Narrow" w:cs="Arial Narrow"/>
          <w:color w:val="231F20"/>
          <w:spacing w:val="3"/>
          <w:w w:val="115"/>
          <w:sz w:val="20"/>
          <w:szCs w:val="20"/>
          <w:lang w:val="en-GB" w:eastAsia="en-GB" w:bidi="en-GB"/>
        </w:rPr>
        <w:t xml:space="preserve"> </w:t>
      </w:r>
      <w:r>
        <w:rPr>
          <w:rFonts w:ascii="Arial Narrow" w:eastAsia="Arial Narrow" w:hAnsi="Arial Narrow" w:cs="Arial Narrow"/>
          <w:color w:val="231F20"/>
          <w:w w:val="115"/>
          <w:sz w:val="20"/>
          <w:szCs w:val="20"/>
          <w:lang w:val="en-GB" w:eastAsia="en-GB" w:bidi="en-GB"/>
        </w:rPr>
        <w:t>...........................................</w:t>
      </w:r>
    </w:p>
    <w:p w:rsidR="00713656" w:rsidRDefault="00713656" w:rsidP="00713656">
      <w:pPr>
        <w:widowControl w:val="0"/>
        <w:autoSpaceDE w:val="0"/>
        <w:autoSpaceDN w:val="0"/>
        <w:spacing w:before="8" w:after="0" w:line="300"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bankası</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TR............................................................</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ve</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w:t>
      </w:r>
      <w:r>
        <w:rPr>
          <w:rFonts w:ascii="Arial Narrow" w:eastAsia="Arial Narrow" w:hAnsi="Arial Narrow" w:cs="Arial Narrow"/>
          <w:color w:val="231F20"/>
          <w:spacing w:val="-9"/>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bankası TR............................................................ IBAN numaralı hesaplarına</w:t>
      </w:r>
      <w:r>
        <w:rPr>
          <w:rFonts w:ascii="Arial Narrow" w:eastAsia="Arial Narrow" w:hAnsi="Arial Narrow" w:cs="Arial Narrow"/>
          <w:color w:val="231F20"/>
          <w:spacing w:val="45"/>
          <w:w w:val="110"/>
          <w:sz w:val="20"/>
          <w:szCs w:val="20"/>
          <w:lang w:val="en-GB" w:eastAsia="en-GB" w:bidi="en-GB"/>
        </w:rPr>
        <w:t xml:space="preserve"> </w:t>
      </w:r>
      <w:r>
        <w:rPr>
          <w:rFonts w:ascii="Arial Narrow" w:eastAsia="Arial Narrow" w:hAnsi="Arial Narrow" w:cs="Arial Narrow"/>
          <w:color w:val="231F20"/>
          <w:w w:val="110"/>
          <w:sz w:val="20"/>
          <w:szCs w:val="20"/>
          <w:lang w:val="en-GB" w:eastAsia="en-GB" w:bidi="en-GB"/>
        </w:rPr>
        <w:t>yatırılır.</w:t>
      </w:r>
    </w:p>
    <w:p w:rsidR="00713656" w:rsidRDefault="00713656" w:rsidP="00713656">
      <w:pPr>
        <w:widowControl w:val="0"/>
        <w:autoSpaceDE w:val="0"/>
        <w:autoSpaceDN w:val="0"/>
        <w:spacing w:before="159"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faaliyetinin</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sonunda,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ödeme</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karşılığında</w:t>
      </w:r>
      <w:r>
        <w:rPr>
          <w:rFonts w:ascii="Arial Narrow" w:eastAsia="Arial Narrow" w:hAnsi="Arial Narrow" w:cs="Arial Narrow"/>
          <w:color w:val="231F20"/>
          <w:spacing w:val="-23"/>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serbest meslek</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makbuzu</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düzenleyerek</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taraflara</w:t>
      </w:r>
      <w:r>
        <w:rPr>
          <w:rFonts w:ascii="Arial Narrow" w:eastAsia="Arial Narrow" w:hAnsi="Arial Narrow" w:cs="Arial Narrow"/>
          <w:color w:val="231F20"/>
          <w:spacing w:val="-1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verecektir.</w:t>
      </w:r>
    </w:p>
    <w:p w:rsidR="00713656" w:rsidRDefault="00713656" w:rsidP="00713656">
      <w:pPr>
        <w:widowControl w:val="0"/>
        <w:autoSpaceDE w:val="0"/>
        <w:autoSpaceDN w:val="0"/>
        <w:spacing w:before="168"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süresince</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tarafından</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düzenlenen</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evrak</w:t>
      </w:r>
      <w:r>
        <w:rPr>
          <w:rFonts w:ascii="Arial Narrow" w:eastAsia="Arial Narrow" w:hAnsi="Arial Narrow" w:cs="Arial Narrow"/>
          <w:color w:val="231F20"/>
          <w:spacing w:val="-3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ve yapılan</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diğer</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işlemler</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ayrı</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ücret</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gerektirmez.</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Arabuluculuk</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faaliyeti</w:t>
      </w:r>
      <w:r>
        <w:rPr>
          <w:rFonts w:ascii="Arial Narrow" w:eastAsia="Arial Narrow" w:hAnsi="Arial Narrow" w:cs="Arial Narrow"/>
          <w:color w:val="231F20"/>
          <w:spacing w:val="-25"/>
          <w:w w:val="125"/>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sonun</w:t>
      </w:r>
      <w:r>
        <w:rPr>
          <w:rFonts w:ascii="Arial Narrow" w:eastAsia="Arial Narrow" w:hAnsi="Arial Narrow" w:cs="Arial Narrow"/>
          <w:color w:val="231F20"/>
          <w:w w:val="120"/>
          <w:sz w:val="20"/>
          <w:szCs w:val="20"/>
          <w:lang w:val="en-GB" w:eastAsia="en-GB" w:bidi="en-GB"/>
        </w:rPr>
        <w:t>da taraflarca anlaşmaya varılması halinde arabulucu anlaşma belgesinin hazırlanmasına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yardım</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edebilir.</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İşbu</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anlaşma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belgesinin</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imza</w:t>
      </w:r>
      <w:r>
        <w:rPr>
          <w:rFonts w:ascii="Arial Narrow" w:eastAsia="Arial Narrow" w:hAnsi="Arial Narrow" w:cs="Arial Narrow"/>
          <w:color w:val="231F20"/>
          <w:spacing w:val="28"/>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edilmesini</w:t>
      </w:r>
      <w:r>
        <w:rPr>
          <w:rFonts w:ascii="Arial Narrow" w:eastAsia="Arial Narrow" w:hAnsi="Arial Narrow" w:cs="Arial Narrow"/>
          <w:sz w:val="20"/>
          <w:szCs w:val="20"/>
          <w:lang w:val="en-GB" w:eastAsia="en-GB" w:bidi="en-GB"/>
        </w:rPr>
        <w:t xml:space="preserve"> </w:t>
      </w:r>
      <w:r>
        <w:rPr>
          <w:rFonts w:ascii="Arial Narrow" w:eastAsia="Arial Narrow" w:hAnsi="Arial Narrow" w:cs="Arial Narrow"/>
          <w:color w:val="231F20"/>
          <w:w w:val="125"/>
          <w:sz w:val="20"/>
          <w:szCs w:val="20"/>
          <w:lang w:val="en-GB" w:eastAsia="en-GB" w:bidi="en-GB"/>
        </w:rPr>
        <w:t>takiben arabuluculuk faaliyeti sona erer.</w:t>
      </w:r>
    </w:p>
    <w:p w:rsidR="00713656" w:rsidRDefault="00713656" w:rsidP="00713656">
      <w:pPr>
        <w:widowControl w:val="0"/>
        <w:autoSpaceDE w:val="0"/>
        <w:autoSpaceDN w:val="0"/>
        <w:spacing w:before="11" w:after="0" w:line="240" w:lineRule="auto"/>
        <w:ind w:left="567" w:right="567"/>
        <w:jc w:val="both"/>
        <w:rPr>
          <w:rFonts w:ascii="Arial Narrow" w:eastAsia="Arial Narrow" w:hAnsi="Arial Narrow" w:cs="Arial Narrow"/>
          <w:sz w:val="18"/>
          <w:szCs w:val="20"/>
          <w:lang w:val="en-GB" w:eastAsia="en-GB" w:bidi="en-GB"/>
        </w:rPr>
      </w:pPr>
    </w:p>
    <w:p w:rsidR="00713656" w:rsidRDefault="00713656" w:rsidP="00713656">
      <w:pPr>
        <w:widowControl w:val="0"/>
        <w:autoSpaceDE w:val="0"/>
        <w:autoSpaceDN w:val="0"/>
        <w:spacing w:before="165" w:after="0" w:line="288" w:lineRule="auto"/>
        <w:ind w:right="567"/>
        <w:jc w:val="both"/>
        <w:rPr>
          <w:rFonts w:ascii="Arial Narrow" w:eastAsia="Arial Narrow" w:hAnsi="Arial Narrow" w:cs="Arial Narrow"/>
          <w:sz w:val="20"/>
          <w:szCs w:val="20"/>
          <w:lang w:val="en-GB" w:eastAsia="en-GB" w:bidi="en-GB"/>
        </w:rPr>
      </w:pPr>
      <w:r>
        <w:rPr>
          <w:rFonts w:ascii="Arial Narrow" w:eastAsia="Arial Narrow" w:hAnsi="Arial Narrow" w:cs="Arial Narrow"/>
          <w:color w:val="231F20"/>
          <w:w w:val="120"/>
          <w:sz w:val="20"/>
          <w:szCs w:val="20"/>
          <w:lang w:val="en-GB" w:eastAsia="en-GB" w:bidi="en-GB"/>
        </w:rPr>
        <w:t>Kanunen arabuluculuk faaliyetinin devam ettirilmesine dair başkaca engel bir hususun ortaya çıkmasından ötürü ve de arabuluculuk faaliyetinin sona erdirilmesi ile sonradan ortaya çıkan bu durumlarla ilgili olarak arabulucunun herhangi bir kusurunun olmaması halinde arabulucu, belirlenen ücretin tamamına hak kazanır. Keza arabuluculuk faaliyeti devam ederken, arabuluculuk</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faaliyetinin</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konusuz</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kalması,</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feragat,</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kabul</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veya</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sulh</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gibi</w:t>
      </w:r>
      <w:r>
        <w:rPr>
          <w:rFonts w:ascii="Arial Narrow" w:eastAsia="Arial Narrow" w:hAnsi="Arial Narrow" w:cs="Arial Narrow"/>
          <w:color w:val="231F20"/>
          <w:spacing w:val="-7"/>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arabuluculuk yolu dışındaki yöntemlerle uyuşmazlık sona ermesi halinde de, arabulucu</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belirlenen</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ücretin</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tamamına</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hak</w:t>
      </w:r>
      <w:r>
        <w:rPr>
          <w:rFonts w:ascii="Arial Narrow" w:eastAsia="Arial Narrow" w:hAnsi="Arial Narrow" w:cs="Arial Narrow"/>
          <w:color w:val="231F20"/>
          <w:spacing w:val="-9"/>
          <w:w w:val="120"/>
          <w:sz w:val="20"/>
          <w:szCs w:val="20"/>
          <w:lang w:val="en-GB" w:eastAsia="en-GB" w:bidi="en-GB"/>
        </w:rPr>
        <w:t xml:space="preserve"> </w:t>
      </w:r>
      <w:r>
        <w:rPr>
          <w:rFonts w:ascii="Arial Narrow" w:eastAsia="Arial Narrow" w:hAnsi="Arial Narrow" w:cs="Arial Narrow"/>
          <w:color w:val="231F20"/>
          <w:w w:val="120"/>
          <w:sz w:val="20"/>
          <w:szCs w:val="20"/>
          <w:lang w:val="en-GB" w:eastAsia="en-GB" w:bidi="en-GB"/>
        </w:rPr>
        <w:t>kazanır.</w:t>
      </w:r>
    </w:p>
    <w:p w:rsidR="00713656" w:rsidRDefault="00713656" w:rsidP="00713656">
      <w:pPr>
        <w:spacing w:after="0" w:line="240" w:lineRule="auto"/>
        <w:jc w:val="both"/>
        <w:rPr>
          <w:rFonts w:ascii="Cambria" w:eastAsia="Times New Roman" w:hAnsi="Cambria"/>
          <w:b/>
          <w:sz w:val="24"/>
          <w:szCs w:val="24"/>
          <w:lang w:eastAsia="tr-TR"/>
        </w:rPr>
      </w:pPr>
    </w:p>
    <w:p w:rsidR="00713656" w:rsidRDefault="00713656" w:rsidP="00713656">
      <w:pPr>
        <w:spacing w:after="200" w:line="276" w:lineRule="auto"/>
        <w:jc w:val="both"/>
      </w:pPr>
      <w:r>
        <w:lastRenderedPageBreak/>
        <w:t>Arabuluculuk faaliyetinin yürütülmesi sırasında, yeni uyuşmazlık konularının ortaya çıkması durumun da ise arabulucu her bir uyuşmazlık için ayrı ücrete hak kazanır. Bu halde yeni uyuşmazlık konuları için arabuluculuk ücreti, arabulucu ve taraflarca ayrıca belirlenir.</w:t>
      </w:r>
    </w:p>
    <w:p w:rsidR="00713656" w:rsidRDefault="00713656" w:rsidP="00713656">
      <w:pPr>
        <w:spacing w:after="200" w:line="276" w:lineRule="auto"/>
        <w:jc w:val="both"/>
      </w:pPr>
      <w:r>
        <w:t xml:space="preserve">Taraflar işbu sözleşmede yazılı adreslerini tebliğe elverişli adres olarak beyan ederler. Yazılı olarak adres değişikliği bildirilmediği sürece bu adreslere yapılan tebligatlar geçerli kabul edilir. </w:t>
      </w:r>
    </w:p>
    <w:p w:rsidR="00713656" w:rsidRDefault="00713656" w:rsidP="00713656">
      <w:pPr>
        <w:spacing w:after="200" w:line="276" w:lineRule="auto"/>
        <w:jc w:val="both"/>
      </w:pPr>
      <w:r>
        <w:t xml:space="preserve">İşbu arabulucu sözleşmesi üç sayfa ve üç nüsha olarak düzenlenmiştir. </w:t>
      </w:r>
    </w:p>
    <w:p w:rsidR="00713656" w:rsidRDefault="00713656" w:rsidP="00713656">
      <w:pPr>
        <w:spacing w:after="0" w:line="240" w:lineRule="auto"/>
        <w:jc w:val="both"/>
        <w:rPr>
          <w:rFonts w:ascii="Cambria" w:eastAsia="Times New Roman" w:hAnsi="Cambria"/>
          <w:b/>
          <w:sz w:val="24"/>
          <w:szCs w:val="24"/>
          <w:lang w:eastAsia="tr-TR"/>
        </w:rPr>
      </w:pPr>
    </w:p>
    <w:p w:rsidR="00713656" w:rsidRDefault="00713656" w:rsidP="00713656">
      <w:pPr>
        <w:spacing w:after="0" w:line="240" w:lineRule="auto"/>
        <w:jc w:val="both"/>
        <w:rPr>
          <w:rFonts w:ascii="Cambria" w:eastAsia="Times New Roman" w:hAnsi="Cambria"/>
          <w:b/>
          <w:sz w:val="24"/>
          <w:szCs w:val="24"/>
          <w:lang w:eastAsia="tr-TR"/>
        </w:rPr>
      </w:pPr>
    </w:p>
    <w:p w:rsidR="00713656" w:rsidRDefault="00713656" w:rsidP="00713656">
      <w:pPr>
        <w:spacing w:after="0" w:line="240" w:lineRule="auto"/>
        <w:jc w:val="both"/>
        <w:rPr>
          <w:rFonts w:ascii="Cambria" w:eastAsia="Times New Roman" w:hAnsi="Cambria"/>
          <w:b/>
          <w:sz w:val="24"/>
          <w:szCs w:val="24"/>
          <w:lang w:eastAsia="tr-TR"/>
        </w:rPr>
      </w:pPr>
    </w:p>
    <w:p w:rsidR="00713656" w:rsidRDefault="00713656" w:rsidP="00713656">
      <w:pPr>
        <w:spacing w:after="0" w:line="240" w:lineRule="auto"/>
        <w:jc w:val="both"/>
        <w:rPr>
          <w:rFonts w:ascii="Cambria" w:eastAsia="Times New Roman" w:hAnsi="Cambria"/>
          <w:b/>
          <w:sz w:val="24"/>
          <w:szCs w:val="24"/>
          <w:lang w:eastAsia="tr-TR"/>
        </w:rPr>
      </w:pPr>
      <w:r>
        <w:rPr>
          <w:rFonts w:ascii="Cambria" w:eastAsia="Times New Roman" w:hAnsi="Cambria"/>
          <w:b/>
          <w:sz w:val="24"/>
          <w:szCs w:val="24"/>
          <w:lang w:eastAsia="tr-TR"/>
        </w:rPr>
        <w:t xml:space="preserve">           İŞVEREN</w:t>
      </w:r>
      <w:r>
        <w:rPr>
          <w:rFonts w:ascii="Cambria" w:eastAsia="Times New Roman" w:hAnsi="Cambria"/>
          <w:sz w:val="24"/>
          <w:szCs w:val="24"/>
          <w:lang w:eastAsia="tr-TR"/>
        </w:rPr>
        <w:t xml:space="preserve"> </w:t>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r>
      <w:r>
        <w:rPr>
          <w:rFonts w:ascii="Cambria" w:eastAsia="Times New Roman" w:hAnsi="Cambria"/>
          <w:sz w:val="24"/>
          <w:szCs w:val="24"/>
          <w:lang w:eastAsia="tr-TR"/>
        </w:rPr>
        <w:tab/>
        <w:t xml:space="preserve">                                              </w:t>
      </w:r>
      <w:r>
        <w:rPr>
          <w:rFonts w:ascii="Cambria" w:eastAsia="Times New Roman" w:hAnsi="Cambria"/>
          <w:b/>
          <w:sz w:val="24"/>
          <w:szCs w:val="24"/>
          <w:lang w:eastAsia="tr-TR"/>
        </w:rPr>
        <w:t xml:space="preserve">İŞÇİ </w:t>
      </w:r>
    </w:p>
    <w:p w:rsidR="00713656" w:rsidRDefault="00713656" w:rsidP="00713656">
      <w:pPr>
        <w:spacing w:after="0" w:line="240" w:lineRule="auto"/>
        <w:jc w:val="both"/>
        <w:rPr>
          <w:rFonts w:ascii="Cambria" w:eastAsia="Times New Roman" w:hAnsi="Cambria"/>
          <w:sz w:val="24"/>
          <w:szCs w:val="24"/>
          <w:lang w:eastAsia="tr-TR"/>
        </w:rPr>
      </w:pPr>
      <w:r>
        <w:rPr>
          <w:rFonts w:ascii="Cambria" w:eastAsia="Times New Roman" w:hAnsi="Cambria" w:cs="Tahoma"/>
          <w:sz w:val="24"/>
          <w:szCs w:val="24"/>
          <w:lang w:eastAsia="tr-TR"/>
        </w:rPr>
        <w:t xml:space="preserve">  </w:t>
      </w: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sz w:val="24"/>
          <w:szCs w:val="24"/>
          <w:lang w:eastAsia="tr-TR"/>
        </w:rPr>
      </w:pPr>
    </w:p>
    <w:p w:rsidR="00713656" w:rsidRDefault="00713656" w:rsidP="00713656">
      <w:pPr>
        <w:spacing w:after="0" w:line="240" w:lineRule="auto"/>
        <w:jc w:val="both"/>
        <w:rPr>
          <w:rFonts w:ascii="Cambria" w:eastAsia="Times New Roman" w:hAnsi="Cambria"/>
          <w:b/>
          <w:sz w:val="24"/>
          <w:szCs w:val="24"/>
          <w:lang w:eastAsia="tr-TR"/>
        </w:rPr>
      </w:pPr>
      <w:r>
        <w:rPr>
          <w:rFonts w:ascii="Cambria" w:eastAsia="Times New Roman" w:hAnsi="Cambria"/>
          <w:sz w:val="24"/>
          <w:szCs w:val="24"/>
          <w:lang w:eastAsia="tr-TR"/>
        </w:rPr>
        <w:t xml:space="preserve">                                                                     </w:t>
      </w:r>
      <w:r>
        <w:rPr>
          <w:rFonts w:ascii="Cambria" w:eastAsia="Times New Roman" w:hAnsi="Cambria"/>
          <w:b/>
          <w:sz w:val="24"/>
          <w:szCs w:val="24"/>
          <w:lang w:eastAsia="tr-TR"/>
        </w:rPr>
        <w:t xml:space="preserve">ARABULUCU </w:t>
      </w:r>
    </w:p>
    <w:p w:rsidR="00713656" w:rsidRDefault="00713656" w:rsidP="00713656">
      <w:pPr>
        <w:spacing w:after="0" w:line="240" w:lineRule="auto"/>
        <w:jc w:val="both"/>
        <w:rPr>
          <w:rFonts w:ascii="Cambria" w:eastAsia="Times New Roman" w:hAnsi="Cambria" w:cs="Tahoma"/>
          <w:sz w:val="24"/>
          <w:szCs w:val="24"/>
          <w:lang w:eastAsia="tr-TR"/>
        </w:rPr>
      </w:pPr>
      <w:r>
        <w:rPr>
          <w:rFonts w:ascii="Cambria" w:eastAsia="Times New Roman" w:hAnsi="Cambria" w:cs="Tahoma"/>
          <w:sz w:val="24"/>
          <w:szCs w:val="24"/>
          <w:lang w:eastAsia="tr-TR"/>
        </w:rPr>
        <w:t xml:space="preserve">                                                         Av. Hakkı Savunur SOĞANCI </w:t>
      </w:r>
    </w:p>
    <w:p w:rsidR="00713656" w:rsidRDefault="00713656" w:rsidP="00713656">
      <w:pPr>
        <w:spacing w:after="0" w:line="240" w:lineRule="auto"/>
        <w:jc w:val="both"/>
        <w:rPr>
          <w:rFonts w:ascii="Cambria" w:eastAsia="Times New Roman" w:hAnsi="Cambria"/>
          <w:sz w:val="24"/>
          <w:szCs w:val="24"/>
          <w:lang w:eastAsia="tr-TR"/>
        </w:rPr>
      </w:pPr>
      <w:r>
        <w:rPr>
          <w:rFonts w:ascii="Cambria" w:eastAsia="Times New Roman" w:hAnsi="Cambria"/>
          <w:sz w:val="24"/>
          <w:szCs w:val="24"/>
          <w:lang w:eastAsia="tr-TR"/>
        </w:rPr>
        <w:t xml:space="preserve">                                                          ARABULUCU SİCİL NO:</w:t>
      </w:r>
      <w:r>
        <w:rPr>
          <w:rFonts w:ascii="Cambria" w:eastAsia="Times New Roman" w:hAnsi="Cambria" w:cs="Tahoma"/>
          <w:sz w:val="24"/>
          <w:szCs w:val="24"/>
          <w:lang w:eastAsia="tr-TR"/>
        </w:rPr>
        <w:t xml:space="preserve"> 253 </w:t>
      </w:r>
    </w:p>
    <w:p w:rsidR="0027418B" w:rsidRDefault="0027418B">
      <w:bookmarkStart w:id="0" w:name="_GoBack"/>
      <w:bookmarkEnd w:id="0"/>
    </w:p>
    <w:sectPr w:rsidR="0027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56"/>
    <w:rsid w:val="0027418B"/>
    <w:rsid w:val="0071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03194-1DA8-4894-A30F-1F96EFA8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56"/>
    <w:pPr>
      <w:spacing w:line="25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HAKKI SAVUNUR SOĞANCI</dc:creator>
  <cp:keywords/>
  <dc:description/>
  <cp:lastModifiedBy>HAKKI SAVUNUR SOĞANCI</cp:lastModifiedBy>
  <cp:revision>1</cp:revision>
  <dcterms:created xsi:type="dcterms:W3CDTF">2020-03-13T17:22:00Z</dcterms:created>
  <dcterms:modified xsi:type="dcterms:W3CDTF">2020-03-13T17:22:00Z</dcterms:modified>
</cp:coreProperties>
</file>